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C74F2" w14:textId="2A66AF1B" w:rsidR="00CE3E81" w:rsidRPr="00F3004B" w:rsidRDefault="00AB4AC2" w:rsidP="00B156E2">
      <w:pPr>
        <w:pStyle w:val="NormalWeb"/>
        <w:spacing w:before="0" w:beforeAutospacing="0" w:after="240" w:afterAutospacing="0"/>
        <w:contextualSpacing/>
        <w:jc w:val="center"/>
        <w:rPr>
          <w:b/>
          <w:bCs/>
        </w:rPr>
      </w:pPr>
      <w:r w:rsidRPr="00D02F07">
        <w:rPr>
          <w:color w:val="7030A0"/>
        </w:rPr>
        <w:t xml:space="preserve">Kumtor Gold Company CJSC invites to take part in the </w:t>
      </w:r>
      <w:r w:rsidR="00F53F8C">
        <w:rPr>
          <w:color w:val="7030A0"/>
        </w:rPr>
        <w:t xml:space="preserve">bidding </w:t>
      </w:r>
      <w:r w:rsidR="00F53F8C" w:rsidRPr="00D02F07">
        <w:rPr>
          <w:color w:val="7030A0"/>
        </w:rPr>
        <w:t>with</w:t>
      </w:r>
      <w:r w:rsidRPr="00D02F07">
        <w:rPr>
          <w:color w:val="7030A0"/>
        </w:rPr>
        <w:t xml:space="preserve"> unlimited participation in a two-package method </w:t>
      </w:r>
      <w:r w:rsidR="00CE3E81" w:rsidRPr="00D94CF8">
        <w:rPr>
          <w:b/>
          <w:bCs/>
        </w:rPr>
        <w:t>for replacement of a cargo trolley for the Konecranes double-girder electric overhead cranes.</w:t>
      </w:r>
    </w:p>
    <w:p w14:paraId="67A1A37F" w14:textId="77777777" w:rsidR="003D6CCB" w:rsidRPr="00F3004B" w:rsidRDefault="003D6CCB" w:rsidP="00CE3E81">
      <w:pPr>
        <w:pStyle w:val="NormalWeb"/>
        <w:spacing w:before="0" w:beforeAutospacing="0" w:after="240" w:afterAutospacing="0"/>
        <w:contextualSpacing/>
        <w:jc w:val="both"/>
        <w:rPr>
          <w:b/>
          <w:bCs/>
        </w:rPr>
      </w:pPr>
    </w:p>
    <w:tbl>
      <w:tblPr>
        <w:tblStyle w:val="TableGrid"/>
        <w:tblW w:w="0" w:type="auto"/>
        <w:tblLook w:val="04A0" w:firstRow="1" w:lastRow="0" w:firstColumn="1" w:lastColumn="0" w:noHBand="0" w:noVBand="1"/>
      </w:tblPr>
      <w:tblGrid>
        <w:gridCol w:w="2335"/>
        <w:gridCol w:w="7344"/>
      </w:tblGrid>
      <w:tr w:rsidR="00CE3E81" w:rsidRPr="009851CF" w14:paraId="5987F468" w14:textId="77777777" w:rsidTr="00CE3E81">
        <w:tc>
          <w:tcPr>
            <w:tcW w:w="2335" w:type="dxa"/>
          </w:tcPr>
          <w:p w14:paraId="080BA701" w14:textId="5B87474E" w:rsidR="00CE3E81" w:rsidRPr="00CE0BDB" w:rsidRDefault="00F04FD0" w:rsidP="00F04FD0">
            <w:pPr>
              <w:pStyle w:val="NormalWeb"/>
              <w:spacing w:before="0" w:beforeAutospacing="0" w:after="240" w:afterAutospacing="0"/>
              <w:contextualSpacing/>
              <w:jc w:val="both"/>
              <w:rPr>
                <w:lang w:val="ru-RU"/>
              </w:rPr>
            </w:pPr>
            <w:r w:rsidRPr="00CE0BDB">
              <w:rPr>
                <w:rStyle w:val="Strong"/>
              </w:rPr>
              <w:t>Submission format:</w:t>
            </w:r>
          </w:p>
        </w:tc>
        <w:tc>
          <w:tcPr>
            <w:tcW w:w="7344" w:type="dxa"/>
          </w:tcPr>
          <w:p w14:paraId="2D826D53" w14:textId="4568962B" w:rsidR="0091548E" w:rsidRPr="00F3004B" w:rsidRDefault="0091548E" w:rsidP="0091548E">
            <w:pPr>
              <w:ind w:right="166"/>
              <w:rPr>
                <w:rFonts w:ascii="Times New Roman" w:hAnsi="Times New Roman" w:cs="Times New Roman"/>
              </w:rPr>
            </w:pPr>
            <w:r w:rsidRPr="00BA778C">
              <w:rPr>
                <w:rFonts w:ascii="Times New Roman" w:hAnsi="Times New Roman" w:cs="Times New Roman"/>
              </w:rPr>
              <w:t>The bid</w:t>
            </w:r>
            <w:r w:rsidR="00B156E2">
              <w:rPr>
                <w:rFonts w:ascii="Times New Roman" w:hAnsi="Times New Roman" w:cs="Times New Roman"/>
              </w:rPr>
              <w:t>s</w:t>
            </w:r>
            <w:r w:rsidRPr="00BA778C">
              <w:rPr>
                <w:rFonts w:ascii="Times New Roman" w:hAnsi="Times New Roman" w:cs="Times New Roman"/>
              </w:rPr>
              <w:t xml:space="preserve"> and other documents shall be signed by the person authorized to sign the bid and the obligations under the contract. Documents must be sealed and submitted in PDF format. The authority of the signatory must be confirmed by a power of attorney or certified copies of the relevant documents.</w:t>
            </w:r>
          </w:p>
          <w:p w14:paraId="421277BA" w14:textId="03DAB47C" w:rsidR="00CE3E81" w:rsidRPr="00F3004B" w:rsidRDefault="0091548E" w:rsidP="0091548E">
            <w:pPr>
              <w:pStyle w:val="NormalWeb"/>
              <w:spacing w:before="0" w:beforeAutospacing="0" w:after="240" w:afterAutospacing="0"/>
              <w:contextualSpacing/>
              <w:jc w:val="both"/>
            </w:pPr>
            <w:r>
              <w:t>Before preparing a bid</w:t>
            </w:r>
            <w:r w:rsidR="005A07ED">
              <w:t xml:space="preserve"> proposal</w:t>
            </w:r>
            <w:r>
              <w:t xml:space="preserve">, the participant must </w:t>
            </w:r>
            <w:proofErr w:type="gramStart"/>
            <w:r>
              <w:t>familiarize</w:t>
            </w:r>
            <w:proofErr w:type="gramEnd"/>
            <w:r>
              <w:t xml:space="preserve"> </w:t>
            </w:r>
            <w:r w:rsidR="00F53F8C">
              <w:t>with the</w:t>
            </w:r>
            <w:r>
              <w:t xml:space="preserve"> </w:t>
            </w:r>
            <w:r w:rsidRPr="0016353C">
              <w:rPr>
                <w:b/>
                <w:bCs/>
              </w:rPr>
              <w:t>Instructions for the preparation of a bid</w:t>
            </w:r>
            <w:r w:rsidR="005A07ED">
              <w:rPr>
                <w:b/>
                <w:bCs/>
              </w:rPr>
              <w:t xml:space="preserve"> proposal</w:t>
            </w:r>
            <w:r w:rsidRPr="0016353C">
              <w:rPr>
                <w:b/>
                <w:bCs/>
              </w:rPr>
              <w:t xml:space="preserve"> (for suppliers) </w:t>
            </w:r>
            <w:r>
              <w:rPr>
                <w:i/>
                <w:iCs/>
              </w:rPr>
              <w:t>(Appendix 1)</w:t>
            </w:r>
          </w:p>
        </w:tc>
      </w:tr>
      <w:tr w:rsidR="00CE3E81" w:rsidRPr="009851CF" w14:paraId="2B5209A7" w14:textId="77777777" w:rsidTr="00CE3E81">
        <w:tc>
          <w:tcPr>
            <w:tcW w:w="2335" w:type="dxa"/>
          </w:tcPr>
          <w:p w14:paraId="4C353B47" w14:textId="77777777" w:rsidR="006052B2" w:rsidRPr="00CE0BDB" w:rsidRDefault="006052B2" w:rsidP="005A07ED">
            <w:pPr>
              <w:contextualSpacing/>
              <w:rPr>
                <w:rFonts w:ascii="Times New Roman" w:hAnsi="Times New Roman" w:cs="Times New Roman"/>
                <w:lang w:val="ru-RU"/>
              </w:rPr>
            </w:pPr>
            <w:r w:rsidRPr="00CE0BDB">
              <w:rPr>
                <w:rStyle w:val="Strong"/>
                <w:rFonts w:ascii="Times New Roman" w:hAnsi="Times New Roman" w:cs="Times New Roman"/>
              </w:rPr>
              <w:t>Procedure for submitting proposals</w:t>
            </w:r>
          </w:p>
          <w:p w14:paraId="4FB831D1" w14:textId="77777777" w:rsidR="00CE3E81" w:rsidRPr="00CE0BDB" w:rsidRDefault="00CE3E81" w:rsidP="006052B2">
            <w:pPr>
              <w:rPr>
                <w:rFonts w:ascii="Times New Roman" w:hAnsi="Times New Roman" w:cs="Times New Roman"/>
                <w:lang w:val="ru-RU"/>
              </w:rPr>
            </w:pPr>
          </w:p>
        </w:tc>
        <w:tc>
          <w:tcPr>
            <w:tcW w:w="7344" w:type="dxa"/>
          </w:tcPr>
          <w:p w14:paraId="3140B3AE" w14:textId="4A38ABE7" w:rsidR="003D6CCB" w:rsidRPr="00F3004B" w:rsidRDefault="003D6CCB" w:rsidP="003D6CCB">
            <w:pPr>
              <w:tabs>
                <w:tab w:val="left" w:pos="-1440"/>
                <w:tab w:val="left" w:pos="-720"/>
              </w:tabs>
              <w:spacing w:line="240" w:lineRule="atLeast"/>
              <w:jc w:val="both"/>
              <w:rPr>
                <w:rFonts w:ascii="Times New Roman" w:hAnsi="Times New Roman" w:cs="Times New Roman"/>
              </w:rPr>
            </w:pPr>
            <w:r w:rsidRPr="00CE0BDB">
              <w:rPr>
                <w:rFonts w:ascii="Times New Roman" w:hAnsi="Times New Roman" w:cs="Times New Roman"/>
              </w:rPr>
              <w:t xml:space="preserve">Participants of the competition must submit an application for participation in Russian in accordance with the requirements of the competition, attach the necessary copies of documents and send them electronically to the email address </w:t>
            </w:r>
            <w:hyperlink r:id="rId5" w:history="1">
              <w:r w:rsidR="00E27C35" w:rsidRPr="006452B3">
                <w:rPr>
                  <w:rStyle w:val="Hyperlink"/>
                  <w:rFonts w:ascii="Times New Roman" w:hAnsi="Times New Roman" w:cs="Times New Roman"/>
                </w:rPr>
                <w:t>Zamena</w:t>
              </w:r>
              <w:r w:rsidR="00E27C35" w:rsidRPr="00E27C35">
                <w:rPr>
                  <w:rStyle w:val="Hyperlink"/>
                </w:rPr>
                <w:t>_telejki_kranov@kumtor.kg</w:t>
              </w:r>
            </w:hyperlink>
            <w:r w:rsidR="00E27C35" w:rsidRPr="00E27C35">
              <w:rPr>
                <w:rFonts w:ascii="Times New Roman" w:hAnsi="Times New Roman" w:cs="Times New Roman"/>
              </w:rPr>
              <w:t xml:space="preserve"> by </w:t>
            </w:r>
            <w:r w:rsidRPr="00BE2D0D">
              <w:rPr>
                <w:rFonts w:ascii="Times New Roman" w:hAnsi="Times New Roman" w:cs="Times New Roman"/>
                <w:b/>
                <w:bCs/>
                <w:highlight w:val="yellow"/>
              </w:rPr>
              <w:t xml:space="preserve">10:30 on February 26, 2026. </w:t>
            </w:r>
          </w:p>
          <w:p w14:paraId="609597B6" w14:textId="77777777" w:rsidR="00D60121" w:rsidRPr="00F3004B" w:rsidRDefault="00D60121" w:rsidP="004E7449">
            <w:pPr>
              <w:pStyle w:val="ListParagraph"/>
              <w:autoSpaceDE w:val="0"/>
              <w:autoSpaceDN w:val="0"/>
              <w:adjustRightInd w:val="0"/>
              <w:spacing w:after="240"/>
              <w:ind w:left="0"/>
              <w:jc w:val="both"/>
              <w:rPr>
                <w:rFonts w:ascii="Times New Roman" w:hAnsi="Times New Roman" w:cs="Times New Roman"/>
              </w:rPr>
            </w:pPr>
          </w:p>
          <w:p w14:paraId="685BF850" w14:textId="08FD1CD6" w:rsidR="00811934" w:rsidRPr="00F3004B" w:rsidRDefault="00D60121" w:rsidP="004E7449">
            <w:pPr>
              <w:pStyle w:val="ListParagraph"/>
              <w:autoSpaceDE w:val="0"/>
              <w:autoSpaceDN w:val="0"/>
              <w:adjustRightInd w:val="0"/>
              <w:spacing w:after="240"/>
              <w:ind w:left="0"/>
              <w:jc w:val="both"/>
              <w:rPr>
                <w:rFonts w:ascii="Times New Roman" w:hAnsi="Times New Roman" w:cs="Times New Roman"/>
              </w:rPr>
            </w:pPr>
            <w:r>
              <w:rPr>
                <w:rFonts w:ascii="Times New Roman" w:hAnsi="Times New Roman" w:cs="Times New Roman"/>
              </w:rPr>
              <w:t xml:space="preserve">The Participant undertakes to provide a commercial offer containing the bid price and other necessary documents for the performance of the task for the </w:t>
            </w:r>
            <w:r w:rsidR="00F32E45" w:rsidRPr="00BC0C64">
              <w:rPr>
                <w:rFonts w:ascii="Times New Roman" w:hAnsi="Times New Roman" w:cs="Times New Roman"/>
                <w:b/>
                <w:bCs/>
              </w:rPr>
              <w:t>replacement of the cargo trolley for the Konecranes double-girder electric overhead cranes</w:t>
            </w:r>
            <w:r w:rsidR="00F32E45" w:rsidRPr="00D94CF8">
              <w:rPr>
                <w:b/>
                <w:bCs/>
              </w:rPr>
              <w:t xml:space="preserve"> </w:t>
            </w:r>
            <w:r w:rsidR="00A84115">
              <w:rPr>
                <w:rFonts w:ascii="Times New Roman" w:hAnsi="Times New Roman" w:cs="Times New Roman"/>
              </w:rPr>
              <w:t xml:space="preserve">in accordance with the Terms of Reference provided by the Customer </w:t>
            </w:r>
          </w:p>
        </w:tc>
      </w:tr>
      <w:tr w:rsidR="00F757F7" w:rsidRPr="009851CF" w14:paraId="26A5ABDC" w14:textId="77777777" w:rsidTr="00CE3E81">
        <w:tc>
          <w:tcPr>
            <w:tcW w:w="2335" w:type="dxa"/>
          </w:tcPr>
          <w:p w14:paraId="0B636733" w14:textId="177FE772" w:rsidR="00F757F7" w:rsidRPr="00CE0BDB" w:rsidRDefault="00F757F7" w:rsidP="00F757F7">
            <w:pPr>
              <w:contextualSpacing/>
              <w:jc w:val="both"/>
              <w:rPr>
                <w:rStyle w:val="Strong"/>
                <w:rFonts w:ascii="Times New Roman" w:hAnsi="Times New Roman" w:cs="Times New Roman"/>
                <w:lang w:val="ru-RU"/>
              </w:rPr>
            </w:pPr>
            <w:r w:rsidRPr="000A71EC">
              <w:rPr>
                <w:rStyle w:val="Strong"/>
                <w:rFonts w:ascii="Times New Roman" w:hAnsi="Times New Roman" w:cs="Times New Roman"/>
                <w:color w:val="FF0000"/>
              </w:rPr>
              <w:t>Important!!</w:t>
            </w:r>
            <w:r w:rsidR="00BC0C64">
              <w:rPr>
                <w:rStyle w:val="Strong"/>
                <w:rFonts w:ascii="Times New Roman" w:hAnsi="Times New Roman" w:cs="Times New Roman"/>
                <w:color w:val="FF0000"/>
              </w:rPr>
              <w:t>!</w:t>
            </w:r>
          </w:p>
        </w:tc>
        <w:tc>
          <w:tcPr>
            <w:tcW w:w="7344" w:type="dxa"/>
          </w:tcPr>
          <w:p w14:paraId="39EA753B" w14:textId="77777777" w:rsidR="00F757F7" w:rsidRPr="00F3004B" w:rsidRDefault="00F757F7" w:rsidP="00F757F7">
            <w:pPr>
              <w:tabs>
                <w:tab w:val="left" w:pos="-1440"/>
                <w:tab w:val="left" w:pos="-720"/>
              </w:tabs>
              <w:spacing w:line="240" w:lineRule="atLeast"/>
              <w:jc w:val="both"/>
              <w:rPr>
                <w:rFonts w:ascii="Times New Roman" w:hAnsi="Times New Roman" w:cs="Times New Roman"/>
              </w:rPr>
            </w:pPr>
            <w:r w:rsidRPr="000A71EC">
              <w:rPr>
                <w:rFonts w:ascii="Times New Roman" w:hAnsi="Times New Roman" w:cs="Times New Roman"/>
              </w:rPr>
              <w:t xml:space="preserve">The size of the letter (sentence) should not exceed </w:t>
            </w:r>
            <w:r w:rsidRPr="000A71EC">
              <w:rPr>
                <w:rFonts w:ascii="Times New Roman" w:hAnsi="Times New Roman" w:cs="Times New Roman"/>
                <w:color w:val="FF0000"/>
              </w:rPr>
              <w:t>25MB.</w:t>
            </w:r>
            <w:r w:rsidRPr="000A71EC">
              <w:rPr>
                <w:rFonts w:ascii="Times New Roman" w:hAnsi="Times New Roman" w:cs="Times New Roman"/>
              </w:rPr>
              <w:t xml:space="preserve"> </w:t>
            </w:r>
          </w:p>
          <w:p w14:paraId="72A01FC3" w14:textId="3BDB2288" w:rsidR="00F757F7" w:rsidRPr="00F3004B" w:rsidRDefault="00F757F7" w:rsidP="00F757F7">
            <w:pPr>
              <w:tabs>
                <w:tab w:val="left" w:pos="-1440"/>
                <w:tab w:val="left" w:pos="-720"/>
              </w:tabs>
              <w:spacing w:line="240" w:lineRule="atLeast"/>
              <w:jc w:val="both"/>
              <w:rPr>
                <w:rFonts w:ascii="Times New Roman" w:hAnsi="Times New Roman" w:cs="Times New Roman"/>
              </w:rPr>
            </w:pPr>
            <w:r w:rsidRPr="000A71EC">
              <w:rPr>
                <w:rFonts w:ascii="Times New Roman" w:hAnsi="Times New Roman" w:cs="Times New Roman"/>
              </w:rPr>
              <w:t xml:space="preserve">If the size of attachments exceeds </w:t>
            </w:r>
            <w:r w:rsidRPr="000A71EC">
              <w:rPr>
                <w:rFonts w:ascii="Times New Roman" w:hAnsi="Times New Roman" w:cs="Times New Roman"/>
                <w:color w:val="FF0000"/>
              </w:rPr>
              <w:t xml:space="preserve">25 MB, </w:t>
            </w:r>
            <w:r w:rsidRPr="000A71EC">
              <w:rPr>
                <w:rFonts w:ascii="Times New Roman" w:hAnsi="Times New Roman" w:cs="Times New Roman"/>
              </w:rPr>
              <w:t xml:space="preserve">then the </w:t>
            </w:r>
            <w:r w:rsidR="00BC0C64">
              <w:rPr>
                <w:rFonts w:ascii="Times New Roman" w:hAnsi="Times New Roman" w:cs="Times New Roman"/>
              </w:rPr>
              <w:t>bid</w:t>
            </w:r>
            <w:r w:rsidRPr="000A71EC">
              <w:rPr>
                <w:rFonts w:ascii="Times New Roman" w:hAnsi="Times New Roman" w:cs="Times New Roman"/>
              </w:rPr>
              <w:t xml:space="preserve"> application must be divided into parts and reflected in the subject line:</w:t>
            </w:r>
          </w:p>
          <w:p w14:paraId="03EF790D" w14:textId="77777777" w:rsidR="00F757F7" w:rsidRPr="00F3004B" w:rsidRDefault="00F757F7" w:rsidP="00F757F7">
            <w:pPr>
              <w:tabs>
                <w:tab w:val="left" w:pos="-1440"/>
                <w:tab w:val="left" w:pos="-720"/>
              </w:tabs>
              <w:spacing w:line="240" w:lineRule="atLeast"/>
              <w:jc w:val="both"/>
              <w:rPr>
                <w:rFonts w:ascii="Times New Roman" w:hAnsi="Times New Roman" w:cs="Times New Roman"/>
              </w:rPr>
            </w:pPr>
          </w:p>
          <w:p w14:paraId="150388EB" w14:textId="77777777" w:rsidR="00F757F7" w:rsidRPr="00F3004B" w:rsidRDefault="00F757F7" w:rsidP="00F757F7">
            <w:pPr>
              <w:tabs>
                <w:tab w:val="left" w:pos="-1440"/>
                <w:tab w:val="left" w:pos="-720"/>
              </w:tabs>
              <w:spacing w:line="240" w:lineRule="atLeast"/>
              <w:jc w:val="both"/>
              <w:rPr>
                <w:rFonts w:ascii="Times New Roman" w:hAnsi="Times New Roman" w:cs="Times New Roman"/>
              </w:rPr>
            </w:pPr>
            <w:r w:rsidRPr="000A71EC">
              <w:rPr>
                <w:rFonts w:ascii="Times New Roman" w:hAnsi="Times New Roman" w:cs="Times New Roman"/>
              </w:rPr>
              <w:t>1. "Qualification and technical proposals (name of the participant)" Part 1.</w:t>
            </w:r>
          </w:p>
          <w:p w14:paraId="43A864C1" w14:textId="77777777" w:rsidR="00F757F7" w:rsidRPr="00F3004B" w:rsidRDefault="00F757F7" w:rsidP="00F757F7">
            <w:pPr>
              <w:tabs>
                <w:tab w:val="left" w:pos="-1440"/>
                <w:tab w:val="left" w:pos="-720"/>
              </w:tabs>
              <w:spacing w:line="240" w:lineRule="atLeast"/>
              <w:jc w:val="both"/>
              <w:rPr>
                <w:rFonts w:ascii="Times New Roman" w:hAnsi="Times New Roman" w:cs="Times New Roman"/>
              </w:rPr>
            </w:pPr>
            <w:r w:rsidRPr="000A71EC">
              <w:rPr>
                <w:rFonts w:ascii="Times New Roman" w:hAnsi="Times New Roman" w:cs="Times New Roman"/>
              </w:rPr>
              <w:t>2. "Qualification and technical proposals (name of the participant)" Part 2.</w:t>
            </w:r>
          </w:p>
          <w:p w14:paraId="2E2E2199" w14:textId="77777777" w:rsidR="00F757F7" w:rsidRPr="00F3004B" w:rsidRDefault="00F757F7" w:rsidP="00F757F7">
            <w:pPr>
              <w:tabs>
                <w:tab w:val="left" w:pos="-1440"/>
                <w:tab w:val="left" w:pos="-720"/>
              </w:tabs>
              <w:spacing w:line="240" w:lineRule="atLeast"/>
              <w:jc w:val="both"/>
              <w:rPr>
                <w:rFonts w:ascii="Times New Roman" w:hAnsi="Times New Roman" w:cs="Times New Roman"/>
              </w:rPr>
            </w:pPr>
            <w:r w:rsidRPr="000A71EC">
              <w:rPr>
                <w:rFonts w:ascii="Times New Roman" w:hAnsi="Times New Roman" w:cs="Times New Roman"/>
              </w:rPr>
              <w:t>3. "Bid and Estimate" Part 3, and so on.</w:t>
            </w:r>
          </w:p>
          <w:p w14:paraId="3ACBAA1F" w14:textId="77777777" w:rsidR="00F757F7" w:rsidRPr="00F3004B" w:rsidRDefault="00F757F7" w:rsidP="00F757F7">
            <w:pPr>
              <w:tabs>
                <w:tab w:val="left" w:pos="-1440"/>
                <w:tab w:val="left" w:pos="-720"/>
              </w:tabs>
              <w:spacing w:line="240" w:lineRule="atLeast"/>
              <w:jc w:val="both"/>
              <w:rPr>
                <w:rFonts w:ascii="Times New Roman" w:hAnsi="Times New Roman" w:cs="Times New Roman"/>
              </w:rPr>
            </w:pPr>
          </w:p>
          <w:p w14:paraId="7F7AD761" w14:textId="324A424D" w:rsidR="00F757F7" w:rsidRPr="00F3004B" w:rsidRDefault="00F757F7" w:rsidP="00F757F7">
            <w:pPr>
              <w:tabs>
                <w:tab w:val="left" w:pos="-1440"/>
                <w:tab w:val="left" w:pos="-720"/>
              </w:tabs>
              <w:spacing w:line="240" w:lineRule="atLeast"/>
              <w:jc w:val="both"/>
              <w:rPr>
                <w:rFonts w:ascii="Times New Roman" w:hAnsi="Times New Roman" w:cs="Times New Roman"/>
              </w:rPr>
            </w:pPr>
            <w:r w:rsidRPr="000A71EC">
              <w:rPr>
                <w:rFonts w:ascii="Times New Roman" w:hAnsi="Times New Roman" w:cs="Times New Roman"/>
              </w:rPr>
              <w:t xml:space="preserve">Given that links to download documents from cloud storage have an expiration date, it is undesirable to send documents by uploading them to cloud storages. </w:t>
            </w:r>
          </w:p>
        </w:tc>
      </w:tr>
      <w:tr w:rsidR="00F757F7" w:rsidRPr="009851CF" w14:paraId="073C3681" w14:textId="77777777" w:rsidTr="00CE3E81">
        <w:tc>
          <w:tcPr>
            <w:tcW w:w="2335" w:type="dxa"/>
          </w:tcPr>
          <w:p w14:paraId="0549176D" w14:textId="28546F73" w:rsidR="00F757F7" w:rsidRPr="00F3004B" w:rsidRDefault="00F757F7" w:rsidP="00F757F7">
            <w:pPr>
              <w:pStyle w:val="ListParagraph"/>
              <w:autoSpaceDE w:val="0"/>
              <w:autoSpaceDN w:val="0"/>
              <w:adjustRightInd w:val="0"/>
              <w:ind w:left="0"/>
              <w:jc w:val="both"/>
              <w:rPr>
                <w:rFonts w:ascii="Times New Roman" w:hAnsi="Times New Roman" w:cs="Times New Roman"/>
                <w:b/>
                <w:bCs/>
              </w:rPr>
            </w:pPr>
            <w:bookmarkStart w:id="0" w:name="_Hlk185512776"/>
            <w:r w:rsidRPr="00CE0BDB">
              <w:rPr>
                <w:rFonts w:ascii="Times New Roman" w:hAnsi="Times New Roman" w:cs="Times New Roman"/>
                <w:b/>
                <w:bCs/>
              </w:rPr>
              <w:t>The application for participation must contain the following documents:</w:t>
            </w:r>
            <w:bookmarkEnd w:id="0"/>
          </w:p>
        </w:tc>
        <w:tc>
          <w:tcPr>
            <w:tcW w:w="7344" w:type="dxa"/>
          </w:tcPr>
          <w:p w14:paraId="55216663" w14:textId="46F79F71" w:rsidR="00F757F7" w:rsidRPr="00F3004B" w:rsidRDefault="00F757F7" w:rsidP="00F757F7">
            <w:pPr>
              <w:tabs>
                <w:tab w:val="left" w:pos="1613"/>
              </w:tabs>
              <w:rPr>
                <w:rFonts w:ascii="Times New Roman" w:eastAsia="Times New Roman" w:hAnsi="Times New Roman" w:cs="Times New Roman"/>
                <w:lang w:eastAsia="zh-CN"/>
              </w:rPr>
            </w:pPr>
            <w:r>
              <w:rPr>
                <w:rFonts w:ascii="Times New Roman" w:eastAsia="Times New Roman" w:hAnsi="Times New Roman" w:cs="Times New Roman"/>
                <w:lang w:eastAsia="zh-CN"/>
              </w:rPr>
              <w:t>- Letter confirming interest in participating;</w:t>
            </w:r>
          </w:p>
          <w:p w14:paraId="1B096E71" w14:textId="0D5F5A65" w:rsidR="00F757F7" w:rsidRPr="00F3004B" w:rsidRDefault="00F757F7" w:rsidP="00F757F7">
            <w:pPr>
              <w:tabs>
                <w:tab w:val="left" w:pos="1613"/>
              </w:tabs>
              <w:rPr>
                <w:rFonts w:ascii="Times New Roman" w:hAnsi="Times New Roman" w:cs="Times New Roman"/>
              </w:rPr>
            </w:pPr>
            <w:r>
              <w:rPr>
                <w:rFonts w:ascii="Times New Roman" w:hAnsi="Times New Roman" w:cs="Times New Roman"/>
              </w:rPr>
              <w:t>- Commercial offer (the validity period of the commercial offer must be 60 days);</w:t>
            </w:r>
          </w:p>
          <w:p w14:paraId="2D59AA66" w14:textId="4CB39CDC" w:rsidR="00F757F7" w:rsidRPr="00F3004B" w:rsidRDefault="00F757F7" w:rsidP="00F757F7">
            <w:pPr>
              <w:tabs>
                <w:tab w:val="left" w:pos="1613"/>
              </w:tabs>
              <w:rPr>
                <w:rFonts w:ascii="Times New Roman" w:hAnsi="Times New Roman" w:cs="Times New Roman"/>
              </w:rPr>
            </w:pPr>
            <w:r>
              <w:rPr>
                <w:rFonts w:ascii="Times New Roman" w:hAnsi="Times New Roman" w:cs="Times New Roman"/>
              </w:rPr>
              <w:t>- Developed estimates and other necessary documents;</w:t>
            </w:r>
          </w:p>
          <w:p w14:paraId="0D6A2AE9" w14:textId="0B9C5529" w:rsidR="00F757F7" w:rsidRPr="00F3004B" w:rsidRDefault="00F757F7" w:rsidP="00F757F7">
            <w:pPr>
              <w:tabs>
                <w:tab w:val="left" w:pos="1613"/>
              </w:tabs>
              <w:rPr>
                <w:rFonts w:ascii="Times New Roman" w:hAnsi="Times New Roman" w:cs="Times New Roman"/>
              </w:rPr>
            </w:pPr>
            <w:r>
              <w:rPr>
                <w:rFonts w:ascii="Times New Roman" w:hAnsi="Times New Roman" w:cs="Times New Roman"/>
              </w:rPr>
              <w:t>- Declaration guaranteeing the bid</w:t>
            </w:r>
            <w:r w:rsidR="00BC0C64">
              <w:rPr>
                <w:rFonts w:ascii="Times New Roman" w:hAnsi="Times New Roman" w:cs="Times New Roman"/>
              </w:rPr>
              <w:t xml:space="preserve"> </w:t>
            </w:r>
            <w:proofErr w:type="gramStart"/>
            <w:r w:rsidR="00BC0C64">
              <w:rPr>
                <w:rFonts w:ascii="Times New Roman" w:hAnsi="Times New Roman" w:cs="Times New Roman"/>
              </w:rPr>
              <w:t>proposal</w:t>
            </w:r>
            <w:r>
              <w:rPr>
                <w:rFonts w:ascii="Times New Roman" w:hAnsi="Times New Roman" w:cs="Times New Roman"/>
              </w:rPr>
              <w:t>;</w:t>
            </w:r>
            <w:proofErr w:type="gramEnd"/>
          </w:p>
          <w:p w14:paraId="468CB935" w14:textId="77777777" w:rsidR="00F757F7" w:rsidRPr="00F3004B" w:rsidRDefault="00F757F7" w:rsidP="00F757F7">
            <w:pPr>
              <w:tabs>
                <w:tab w:val="left" w:pos="1613"/>
              </w:tabs>
              <w:rPr>
                <w:rFonts w:ascii="Times New Roman" w:hAnsi="Times New Roman" w:cs="Times New Roman"/>
              </w:rPr>
            </w:pPr>
            <w:r>
              <w:rPr>
                <w:rFonts w:ascii="Times New Roman" w:hAnsi="Times New Roman" w:cs="Times New Roman"/>
              </w:rPr>
              <w:t>- Declaration of Good Faith.</w:t>
            </w:r>
          </w:p>
          <w:p w14:paraId="60145636" w14:textId="671FB328" w:rsidR="00F757F7" w:rsidRPr="00F3004B" w:rsidRDefault="00F757F7" w:rsidP="00F757F7">
            <w:pPr>
              <w:tabs>
                <w:tab w:val="left" w:pos="1613"/>
              </w:tabs>
              <w:rPr>
                <w:rFonts w:ascii="Times New Roman" w:hAnsi="Times New Roman" w:cs="Times New Roman"/>
              </w:rPr>
            </w:pPr>
            <w:r>
              <w:rPr>
                <w:rFonts w:ascii="Times New Roman" w:hAnsi="Times New Roman" w:cs="Times New Roman"/>
              </w:rPr>
              <w:t>- certificates of absence of tax and insurance arrears.</w:t>
            </w:r>
          </w:p>
        </w:tc>
      </w:tr>
      <w:tr w:rsidR="00F757F7" w:rsidRPr="009851CF" w14:paraId="363591C7" w14:textId="77777777" w:rsidTr="00CE3E81">
        <w:tc>
          <w:tcPr>
            <w:tcW w:w="2335" w:type="dxa"/>
          </w:tcPr>
          <w:p w14:paraId="396488B8" w14:textId="45B2B24B" w:rsidR="00F757F7" w:rsidRPr="00CE0BDB" w:rsidRDefault="00F757F7" w:rsidP="00F757F7">
            <w:pPr>
              <w:pStyle w:val="NormalWeb"/>
              <w:spacing w:before="240" w:beforeAutospacing="0" w:after="0" w:afterAutospacing="0"/>
              <w:contextualSpacing/>
              <w:jc w:val="both"/>
              <w:rPr>
                <w:lang w:val="ru-RU"/>
              </w:rPr>
            </w:pPr>
            <w:r w:rsidRPr="00CE0BDB">
              <w:t>Evaluation criteria:</w:t>
            </w:r>
          </w:p>
        </w:tc>
        <w:tc>
          <w:tcPr>
            <w:tcW w:w="7344" w:type="dxa"/>
          </w:tcPr>
          <w:p w14:paraId="60DDC0AD" w14:textId="5E17DDDC" w:rsidR="00F757F7" w:rsidRPr="00F3004B" w:rsidRDefault="00F757F7" w:rsidP="00F757F7">
            <w:pPr>
              <w:pStyle w:val="NormalWeb"/>
              <w:spacing w:before="240" w:beforeAutospacing="0" w:after="0" w:afterAutospacing="0"/>
              <w:contextualSpacing/>
              <w:jc w:val="both"/>
            </w:pPr>
            <w:r w:rsidRPr="00CE0BDB">
              <w:t xml:space="preserve">A proposal that has provided a full package of requested documents will be recognized as selected. </w:t>
            </w:r>
          </w:p>
        </w:tc>
      </w:tr>
      <w:tr w:rsidR="00F757F7" w:rsidRPr="00B14F91" w14:paraId="3DDCD04F" w14:textId="77777777" w:rsidTr="00A60A18">
        <w:tc>
          <w:tcPr>
            <w:tcW w:w="9679" w:type="dxa"/>
            <w:gridSpan w:val="2"/>
          </w:tcPr>
          <w:p w14:paraId="129D76A2" w14:textId="36DD8729" w:rsidR="00F757F7" w:rsidRPr="00F3004B" w:rsidRDefault="00F757F7" w:rsidP="00F757F7">
            <w:pPr>
              <w:pStyle w:val="NormalWeb"/>
              <w:spacing w:before="240" w:after="0"/>
              <w:contextualSpacing/>
              <w:jc w:val="both"/>
              <w:rPr>
                <w:b/>
                <w:bCs/>
              </w:rPr>
            </w:pPr>
            <w:r w:rsidRPr="00BE2D0D">
              <w:rPr>
                <w:highlight w:val="yellow"/>
              </w:rPr>
              <w:t>A proposal indicating the topic: "</w:t>
            </w:r>
            <w:r w:rsidR="00266112">
              <w:rPr>
                <w:b/>
                <w:bCs/>
                <w:highlight w:val="yellow"/>
              </w:rPr>
              <w:t>replacement of cargo trolleys</w:t>
            </w:r>
            <w:r w:rsidRPr="00BE2D0D">
              <w:rPr>
                <w:highlight w:val="yellow"/>
              </w:rPr>
              <w:t xml:space="preserve">" should be sent by e-mail to </w:t>
            </w:r>
            <w:hyperlink r:id="rId6" w:history="1">
              <w:r w:rsidR="00756F6B" w:rsidRPr="006452B3">
                <w:rPr>
                  <w:rStyle w:val="Hyperlink"/>
                </w:rPr>
                <w:t>Zamena_telejki_kranov@kumtor.kg</w:t>
              </w:r>
            </w:hyperlink>
            <w:r w:rsidRPr="00CE0BDB">
              <w:t xml:space="preserve"> </w:t>
            </w:r>
            <w:r w:rsidRPr="00BE2D0D">
              <w:rPr>
                <w:highlight w:val="yellow"/>
              </w:rPr>
              <w:t xml:space="preserve">by </w:t>
            </w:r>
            <w:r w:rsidRPr="00BE2D0D">
              <w:rPr>
                <w:b/>
                <w:bCs/>
                <w:highlight w:val="yellow"/>
              </w:rPr>
              <w:t>10:30 a.m. on February 26, 2026.</w:t>
            </w:r>
          </w:p>
        </w:tc>
      </w:tr>
      <w:tr w:rsidR="00F757F7" w:rsidRPr="009851CF" w14:paraId="7F922E09" w14:textId="77777777" w:rsidTr="004B7E34">
        <w:tc>
          <w:tcPr>
            <w:tcW w:w="9679" w:type="dxa"/>
            <w:gridSpan w:val="2"/>
          </w:tcPr>
          <w:p w14:paraId="21B0329B" w14:textId="5D5CBFD3" w:rsidR="00F757F7" w:rsidRPr="00F3004B" w:rsidRDefault="00F757F7" w:rsidP="00F757F7">
            <w:pPr>
              <w:pStyle w:val="NormalWeb"/>
              <w:spacing w:before="240" w:beforeAutospacing="0" w:after="0" w:afterAutospacing="0"/>
              <w:contextualSpacing/>
              <w:jc w:val="both"/>
            </w:pPr>
            <w:r w:rsidRPr="00CE0BDB">
              <w:lastRenderedPageBreak/>
              <w:t>The Customer shall have the right to accept or reject any or all of the proposals, as well as to cancel the selection process at any time prior to the award of the Agreement, without incurring any obligations to the relevant participants.</w:t>
            </w:r>
          </w:p>
        </w:tc>
      </w:tr>
      <w:tr w:rsidR="00F757F7" w:rsidRPr="009851CF" w14:paraId="6C07F3C7" w14:textId="77777777" w:rsidTr="00B438C3">
        <w:tc>
          <w:tcPr>
            <w:tcW w:w="9679" w:type="dxa"/>
            <w:gridSpan w:val="2"/>
          </w:tcPr>
          <w:p w14:paraId="4BF0B2CB" w14:textId="738599DF" w:rsidR="00F757F7" w:rsidRPr="00F3004B" w:rsidRDefault="00F757F7" w:rsidP="00F757F7">
            <w:pPr>
              <w:pStyle w:val="NormalWeb"/>
              <w:spacing w:before="240" w:beforeAutospacing="0" w:after="0" w:afterAutospacing="0"/>
              <w:contextualSpacing/>
              <w:jc w:val="both"/>
              <w:rPr>
                <w:rFonts w:eastAsia="Calibri"/>
                <w:b/>
                <w:bCs/>
              </w:rPr>
            </w:pPr>
            <w:r w:rsidRPr="00CE0BDB">
              <w:rPr>
                <w:rFonts w:eastAsia="Calibri"/>
              </w:rPr>
              <w:t xml:space="preserve">The bid must be on official letterhead. </w:t>
            </w:r>
          </w:p>
        </w:tc>
      </w:tr>
      <w:tr w:rsidR="00F757F7" w:rsidRPr="009851CF" w14:paraId="19323EC5" w14:textId="77777777" w:rsidTr="003A78C5">
        <w:tc>
          <w:tcPr>
            <w:tcW w:w="9679" w:type="dxa"/>
            <w:gridSpan w:val="2"/>
          </w:tcPr>
          <w:p w14:paraId="2512D533" w14:textId="1F1920BC" w:rsidR="00F757F7" w:rsidRPr="00F3004B" w:rsidRDefault="00F757F7" w:rsidP="00F757F7">
            <w:pPr>
              <w:pStyle w:val="NormalWeb"/>
              <w:spacing w:before="240" w:beforeAutospacing="0" w:after="0" w:afterAutospacing="0"/>
              <w:contextualSpacing/>
              <w:jc w:val="both"/>
            </w:pPr>
            <w:r w:rsidRPr="00CE0BDB">
              <w:t xml:space="preserve">         Bids submitted by the Selection Participants later than the specified deadlines </w:t>
            </w:r>
            <w:r w:rsidR="00EB465E">
              <w:t>wi</w:t>
            </w:r>
            <w:r w:rsidRPr="00CE0BDB">
              <w:t>ll not be accepted and will not be considered.</w:t>
            </w:r>
          </w:p>
          <w:p w14:paraId="5E89C092" w14:textId="0B9A42C9" w:rsidR="00F757F7" w:rsidRPr="00F3004B" w:rsidRDefault="00F757F7" w:rsidP="00F757F7">
            <w:pPr>
              <w:pStyle w:val="NormalWeb"/>
              <w:spacing w:before="240" w:beforeAutospacing="0" w:after="0" w:afterAutospacing="0"/>
              <w:ind w:firstLine="540"/>
              <w:contextualSpacing/>
              <w:jc w:val="both"/>
            </w:pPr>
            <w:r w:rsidRPr="00CE0BDB">
              <w:t>By submitting offer, the Participant thereby agrees to all the conditions specified in the requirements of the Company.</w:t>
            </w:r>
          </w:p>
          <w:p w14:paraId="65AD7FF9" w14:textId="77777777" w:rsidR="00F757F7" w:rsidRPr="00F3004B" w:rsidRDefault="00F757F7" w:rsidP="00F757F7">
            <w:pPr>
              <w:pStyle w:val="NormalWeb"/>
              <w:spacing w:before="240" w:beforeAutospacing="0" w:after="0" w:afterAutospacing="0"/>
              <w:ind w:firstLine="540"/>
              <w:contextualSpacing/>
              <w:jc w:val="both"/>
            </w:pPr>
            <w:r w:rsidRPr="00CE0BDB">
              <w:t>Each selection participant can submit only one bid.</w:t>
            </w:r>
          </w:p>
          <w:p w14:paraId="4C13529E" w14:textId="77777777" w:rsidR="00F757F7" w:rsidRPr="00F3004B" w:rsidRDefault="00F757F7" w:rsidP="00F757F7">
            <w:pPr>
              <w:pStyle w:val="NormalWeb"/>
              <w:spacing w:before="240" w:beforeAutospacing="0" w:after="0" w:afterAutospacing="0"/>
              <w:ind w:firstLine="540"/>
              <w:contextualSpacing/>
              <w:jc w:val="both"/>
            </w:pPr>
            <w:r w:rsidRPr="00CE0BDB">
              <w:t>The validity period of the bid shall be at least 60 calendar days.</w:t>
            </w:r>
          </w:p>
          <w:p w14:paraId="0B500DE8" w14:textId="26709DCF" w:rsidR="00F757F7" w:rsidRPr="00F3004B" w:rsidRDefault="00F757F7" w:rsidP="00F757F7">
            <w:pPr>
              <w:pStyle w:val="NormalWeb"/>
              <w:spacing w:before="240" w:beforeAutospacing="0" w:after="0" w:afterAutospacing="0"/>
              <w:ind w:firstLine="540"/>
              <w:contextualSpacing/>
              <w:jc w:val="both"/>
            </w:pPr>
            <w:r w:rsidRPr="00CE0BDB">
              <w:t>It is not allowed to make changes to the bid</w:t>
            </w:r>
            <w:r w:rsidR="00EB465E">
              <w:t xml:space="preserve"> proposals</w:t>
            </w:r>
            <w:r w:rsidRPr="00CE0BDB">
              <w:t xml:space="preserve"> during the term of validity of the tender bid. </w:t>
            </w:r>
          </w:p>
        </w:tc>
      </w:tr>
      <w:tr w:rsidR="00F757F7" w:rsidRPr="009851CF" w14:paraId="422B342D" w14:textId="77777777" w:rsidTr="003276EF">
        <w:tc>
          <w:tcPr>
            <w:tcW w:w="9679" w:type="dxa"/>
            <w:gridSpan w:val="2"/>
          </w:tcPr>
          <w:p w14:paraId="68E8B316" w14:textId="11FCD2AD" w:rsidR="00F757F7" w:rsidRPr="00F3004B" w:rsidRDefault="00F757F7" w:rsidP="00F757F7">
            <w:pPr>
              <w:pStyle w:val="NormalWeb"/>
              <w:spacing w:before="240" w:beforeAutospacing="0" w:after="0" w:afterAutospacing="0"/>
              <w:ind w:firstLine="540"/>
              <w:contextualSpacing/>
              <w:jc w:val="both"/>
              <w:rPr>
                <w:rFonts w:eastAsiaTheme="minorEastAsia"/>
                <w:lang w:eastAsia="ru-RU"/>
              </w:rPr>
            </w:pPr>
            <w:r w:rsidRPr="00CE0BDB">
              <w:rPr>
                <w:rFonts w:eastAsiaTheme="minorEastAsia"/>
                <w:lang w:eastAsia="ru-RU"/>
              </w:rPr>
              <w:t xml:space="preserve">A selected participant is obliged to provide a guarantee of the performance of the contract in the form of a declaration before signing the contract. </w:t>
            </w:r>
          </w:p>
        </w:tc>
      </w:tr>
      <w:tr w:rsidR="00F757F7" w:rsidRPr="009851CF" w14:paraId="7BAB6FFE" w14:textId="77777777" w:rsidTr="00CC730B">
        <w:tc>
          <w:tcPr>
            <w:tcW w:w="9679" w:type="dxa"/>
            <w:gridSpan w:val="2"/>
          </w:tcPr>
          <w:p w14:paraId="495276FC" w14:textId="605A3FA5" w:rsidR="00F757F7" w:rsidRPr="00F3004B" w:rsidRDefault="00F757F7" w:rsidP="00F757F7">
            <w:pPr>
              <w:pStyle w:val="NormalWeb"/>
              <w:spacing w:before="240" w:beforeAutospacing="0" w:after="0" w:afterAutospacing="0"/>
              <w:ind w:firstLine="540"/>
              <w:contextualSpacing/>
              <w:jc w:val="both"/>
            </w:pPr>
            <w:r w:rsidRPr="00CE0BDB">
              <w:rPr>
                <w:rFonts w:eastAsiaTheme="minorEastAsia"/>
                <w:lang w:eastAsia="ru-RU"/>
              </w:rPr>
              <w:t>In the case of an advance payment, the winning company is obliged to provide a bank guarantee for the payment of an advance payment not less than the amount of the advance payment.</w:t>
            </w:r>
          </w:p>
        </w:tc>
      </w:tr>
      <w:tr w:rsidR="00F757F7" w:rsidRPr="009851CF" w14:paraId="1550040D" w14:textId="77777777" w:rsidTr="003C4420">
        <w:tc>
          <w:tcPr>
            <w:tcW w:w="9679" w:type="dxa"/>
            <w:gridSpan w:val="2"/>
          </w:tcPr>
          <w:p w14:paraId="2A8A4399" w14:textId="3BC35E79" w:rsidR="00F757F7" w:rsidRPr="00F3004B" w:rsidRDefault="00F757F7" w:rsidP="0096673D">
            <w:pPr>
              <w:pStyle w:val="NormalWeb"/>
              <w:spacing w:before="240" w:beforeAutospacing="0" w:after="0" w:afterAutospacing="0"/>
              <w:ind w:firstLine="540"/>
              <w:contextualSpacing/>
            </w:pPr>
            <w:r w:rsidRPr="00CE0BDB">
              <w:t xml:space="preserve">All questions about this competition should be sent by e-mail to: </w:t>
            </w:r>
            <w:hyperlink r:id="rId7" w:history="1">
              <w:r w:rsidR="0096673D" w:rsidRPr="00840958">
                <w:rPr>
                  <w:rStyle w:val="Hyperlink"/>
                </w:rPr>
                <w:t>aibek.berdigulov@kumtor.kg</w:t>
              </w:r>
            </w:hyperlink>
            <w:r w:rsidR="0096673D">
              <w:t xml:space="preserve"> </w:t>
            </w:r>
          </w:p>
        </w:tc>
      </w:tr>
      <w:tr w:rsidR="00F757F7" w:rsidRPr="009851CF" w14:paraId="58622274" w14:textId="77777777" w:rsidTr="00F264AB">
        <w:tc>
          <w:tcPr>
            <w:tcW w:w="9679" w:type="dxa"/>
            <w:gridSpan w:val="2"/>
          </w:tcPr>
          <w:p w14:paraId="02CB9D67" w14:textId="4782BD65" w:rsidR="00F757F7" w:rsidRPr="00F3004B" w:rsidRDefault="00F757F7" w:rsidP="00F757F7">
            <w:pPr>
              <w:pStyle w:val="NormalWeb"/>
              <w:spacing w:before="240" w:beforeAutospacing="0" w:after="0" w:afterAutospacing="0"/>
              <w:ind w:firstLine="540"/>
              <w:contextualSpacing/>
              <w:jc w:val="both"/>
            </w:pPr>
            <w:r w:rsidRPr="00CE0BDB">
              <w:rPr>
                <w:rFonts w:eastAsia="Times New Roman"/>
                <w:lang w:eastAsia="zh-CN"/>
              </w:rPr>
              <w:tab/>
            </w:r>
            <w:r w:rsidRPr="00CE0BDB">
              <w:t xml:space="preserve">Requests for clarification of the selection </w:t>
            </w:r>
            <w:r w:rsidR="0096673D">
              <w:t xml:space="preserve">terms </w:t>
            </w:r>
            <w:r w:rsidRPr="00CE0BDB">
              <w:t>must be sent 3 calendar days before the deadline for submission of the proposal.</w:t>
            </w:r>
          </w:p>
        </w:tc>
      </w:tr>
    </w:tbl>
    <w:p w14:paraId="16FE8674" w14:textId="2C97E771" w:rsidR="00082007" w:rsidRPr="00F3004B" w:rsidRDefault="00082007" w:rsidP="00CC2DD0">
      <w:pPr>
        <w:rPr>
          <w:rFonts w:ascii="Times New Roman" w:hAnsi="Times New Roman" w:cs="Times New Roman"/>
        </w:rPr>
      </w:pPr>
    </w:p>
    <w:p w14:paraId="6C867710" w14:textId="1DB06F65" w:rsidR="00992E77" w:rsidRDefault="00616BDE" w:rsidP="00CC2DD0">
      <w:pPr>
        <w:rPr>
          <w:rFonts w:ascii="Times New Roman" w:hAnsi="Times New Roman" w:cs="Times New Roman"/>
          <w:lang w:val="ru-RU"/>
        </w:rPr>
      </w:pPr>
      <w:r>
        <w:rPr>
          <w:rFonts w:ascii="Times New Roman" w:hAnsi="Times New Roman" w:cs="Times New Roman"/>
        </w:rPr>
        <w:t>Applications:</w:t>
      </w:r>
    </w:p>
    <w:p w14:paraId="3055EC63" w14:textId="24668534" w:rsidR="00605831" w:rsidRPr="00F3004B" w:rsidRDefault="00605831" w:rsidP="00605831">
      <w:pPr>
        <w:pStyle w:val="ListParagraph"/>
        <w:numPr>
          <w:ilvl w:val="0"/>
          <w:numId w:val="3"/>
        </w:numPr>
        <w:rPr>
          <w:rFonts w:ascii="Times New Roman" w:hAnsi="Times New Roman" w:cs="Times New Roman"/>
        </w:rPr>
      </w:pPr>
      <w:r w:rsidRPr="000A71EC">
        <w:rPr>
          <w:rFonts w:ascii="Times New Roman" w:hAnsi="Times New Roman" w:cs="Times New Roman"/>
        </w:rPr>
        <w:t xml:space="preserve">instructions for the preparation of </w:t>
      </w:r>
      <w:r w:rsidR="0096673D">
        <w:rPr>
          <w:rFonts w:ascii="Times New Roman" w:hAnsi="Times New Roman" w:cs="Times New Roman"/>
        </w:rPr>
        <w:t xml:space="preserve">bid </w:t>
      </w:r>
      <w:proofErr w:type="gramStart"/>
      <w:r w:rsidRPr="000A71EC">
        <w:rPr>
          <w:rFonts w:ascii="Times New Roman" w:hAnsi="Times New Roman" w:cs="Times New Roman"/>
        </w:rPr>
        <w:t>documentation;</w:t>
      </w:r>
      <w:proofErr w:type="gramEnd"/>
    </w:p>
    <w:p w14:paraId="6B5A5C37" w14:textId="452ABB59" w:rsidR="00605831" w:rsidRPr="000A71EC" w:rsidRDefault="0096673D" w:rsidP="00605831">
      <w:pPr>
        <w:pStyle w:val="ListParagraph"/>
        <w:numPr>
          <w:ilvl w:val="0"/>
          <w:numId w:val="3"/>
        </w:numPr>
        <w:rPr>
          <w:rFonts w:ascii="Times New Roman" w:hAnsi="Times New Roman" w:cs="Times New Roman"/>
          <w:lang w:val="ru-RU"/>
        </w:rPr>
      </w:pPr>
      <w:r>
        <w:rPr>
          <w:rFonts w:ascii="Times New Roman" w:hAnsi="Times New Roman" w:cs="Times New Roman"/>
        </w:rPr>
        <w:t xml:space="preserve">bid </w:t>
      </w:r>
      <w:r w:rsidR="00605831" w:rsidRPr="000A71EC">
        <w:rPr>
          <w:rFonts w:ascii="Times New Roman" w:hAnsi="Times New Roman" w:cs="Times New Roman"/>
        </w:rPr>
        <w:t xml:space="preserve">application </w:t>
      </w:r>
      <w:proofErr w:type="gramStart"/>
      <w:r w:rsidR="00605831" w:rsidRPr="000A71EC">
        <w:rPr>
          <w:rFonts w:ascii="Times New Roman" w:hAnsi="Times New Roman" w:cs="Times New Roman"/>
        </w:rPr>
        <w:t>form;</w:t>
      </w:r>
      <w:proofErr w:type="gramEnd"/>
    </w:p>
    <w:p w14:paraId="0490AA69" w14:textId="2308E1EE" w:rsidR="00605831" w:rsidRPr="000A71EC" w:rsidRDefault="0096673D" w:rsidP="00605831">
      <w:pPr>
        <w:pStyle w:val="ListParagraph"/>
        <w:numPr>
          <w:ilvl w:val="0"/>
          <w:numId w:val="3"/>
        </w:numPr>
        <w:rPr>
          <w:rFonts w:ascii="Times New Roman" w:hAnsi="Times New Roman" w:cs="Times New Roman"/>
          <w:lang w:val="ru-RU"/>
        </w:rPr>
      </w:pPr>
      <w:r>
        <w:rPr>
          <w:rFonts w:ascii="Times New Roman" w:hAnsi="Times New Roman" w:cs="Times New Roman"/>
        </w:rPr>
        <w:t>Bid guarantee d</w:t>
      </w:r>
      <w:r w:rsidR="00605831" w:rsidRPr="000A71EC">
        <w:rPr>
          <w:rFonts w:ascii="Times New Roman" w:hAnsi="Times New Roman" w:cs="Times New Roman"/>
        </w:rPr>
        <w:t xml:space="preserve">eclaration </w:t>
      </w:r>
      <w:proofErr w:type="gramStart"/>
      <w:r w:rsidR="00605831" w:rsidRPr="000A71EC">
        <w:rPr>
          <w:rFonts w:ascii="Times New Roman" w:hAnsi="Times New Roman" w:cs="Times New Roman"/>
        </w:rPr>
        <w:t>Form;</w:t>
      </w:r>
      <w:proofErr w:type="gramEnd"/>
    </w:p>
    <w:p w14:paraId="3CE63E82" w14:textId="65DDD2A3" w:rsidR="00605831" w:rsidRPr="00F3004B" w:rsidRDefault="00605831" w:rsidP="00605831">
      <w:pPr>
        <w:pStyle w:val="ListParagraph"/>
        <w:numPr>
          <w:ilvl w:val="0"/>
          <w:numId w:val="3"/>
        </w:numPr>
        <w:rPr>
          <w:rFonts w:ascii="Times New Roman" w:hAnsi="Times New Roman" w:cs="Times New Roman"/>
        </w:rPr>
      </w:pPr>
      <w:r w:rsidRPr="000A71EC">
        <w:rPr>
          <w:rFonts w:ascii="Times New Roman" w:hAnsi="Times New Roman" w:cs="Times New Roman"/>
        </w:rPr>
        <w:t xml:space="preserve">Form of </w:t>
      </w:r>
      <w:r w:rsidR="0096673D">
        <w:rPr>
          <w:rFonts w:ascii="Times New Roman" w:hAnsi="Times New Roman" w:cs="Times New Roman"/>
        </w:rPr>
        <w:t xml:space="preserve">absence </w:t>
      </w:r>
      <w:r w:rsidRPr="000A71EC">
        <w:rPr>
          <w:rFonts w:ascii="Times New Roman" w:hAnsi="Times New Roman" w:cs="Times New Roman"/>
        </w:rPr>
        <w:t xml:space="preserve">of </w:t>
      </w:r>
      <w:proofErr w:type="gramStart"/>
      <w:r w:rsidRPr="000A71EC">
        <w:rPr>
          <w:rFonts w:ascii="Times New Roman" w:hAnsi="Times New Roman" w:cs="Times New Roman"/>
        </w:rPr>
        <w:t>affiliation;</w:t>
      </w:r>
      <w:proofErr w:type="gramEnd"/>
      <w:r w:rsidRPr="000A71EC">
        <w:rPr>
          <w:rFonts w:ascii="Times New Roman" w:hAnsi="Times New Roman" w:cs="Times New Roman"/>
        </w:rPr>
        <w:t xml:space="preserve"> </w:t>
      </w:r>
    </w:p>
    <w:p w14:paraId="67F8DC30" w14:textId="77777777" w:rsidR="00605831" w:rsidRPr="000A71EC" w:rsidRDefault="00605831" w:rsidP="00605831">
      <w:pPr>
        <w:pStyle w:val="ListParagraph"/>
        <w:numPr>
          <w:ilvl w:val="0"/>
          <w:numId w:val="3"/>
        </w:numPr>
        <w:rPr>
          <w:rFonts w:ascii="Times New Roman" w:hAnsi="Times New Roman" w:cs="Times New Roman"/>
          <w:lang w:val="ru-RU"/>
        </w:rPr>
      </w:pPr>
      <w:r w:rsidRPr="000A71EC">
        <w:rPr>
          <w:rFonts w:ascii="Times New Roman" w:hAnsi="Times New Roman" w:cs="Times New Roman"/>
        </w:rPr>
        <w:t>Anti-corruption clause form;</w:t>
      </w:r>
    </w:p>
    <w:p w14:paraId="51240AE8" w14:textId="77777777" w:rsidR="00605831" w:rsidRPr="00F61D7A" w:rsidRDefault="00605831" w:rsidP="00605831">
      <w:pPr>
        <w:pStyle w:val="ListParagraph"/>
        <w:numPr>
          <w:ilvl w:val="0"/>
          <w:numId w:val="3"/>
        </w:numPr>
        <w:rPr>
          <w:rFonts w:ascii="Times New Roman" w:hAnsi="Times New Roman" w:cs="Times New Roman"/>
          <w:lang w:val="ru-RU"/>
        </w:rPr>
      </w:pPr>
      <w:r w:rsidRPr="00F61D7A">
        <w:rPr>
          <w:rFonts w:ascii="Times New Roman" w:hAnsi="Times New Roman" w:cs="Times New Roman"/>
        </w:rPr>
        <w:t>Draft agreement;</w:t>
      </w:r>
    </w:p>
    <w:p w14:paraId="6EC34E94" w14:textId="31D16E6D" w:rsidR="00605831" w:rsidRPr="00F61D7A" w:rsidRDefault="00605831" w:rsidP="00605831">
      <w:pPr>
        <w:pStyle w:val="ListParagraph"/>
        <w:numPr>
          <w:ilvl w:val="0"/>
          <w:numId w:val="3"/>
        </w:numPr>
        <w:rPr>
          <w:rFonts w:ascii="Times New Roman" w:hAnsi="Times New Roman" w:cs="Times New Roman"/>
          <w:lang w:val="ru-RU"/>
        </w:rPr>
      </w:pPr>
      <w:r w:rsidRPr="00F61D7A">
        <w:rPr>
          <w:rFonts w:ascii="Times New Roman" w:hAnsi="Times New Roman" w:cs="Times New Roman"/>
        </w:rPr>
        <w:t>Terms of reference;</w:t>
      </w:r>
    </w:p>
    <w:p w14:paraId="55AA7DF9" w14:textId="066F9C9D" w:rsidR="00605831" w:rsidRPr="00F3004B" w:rsidRDefault="00EA7A30" w:rsidP="00605831">
      <w:pPr>
        <w:pStyle w:val="ListParagraph"/>
        <w:numPr>
          <w:ilvl w:val="0"/>
          <w:numId w:val="3"/>
        </w:numPr>
        <w:rPr>
          <w:rFonts w:ascii="Times New Roman" w:hAnsi="Times New Roman" w:cs="Times New Roman"/>
        </w:rPr>
      </w:pPr>
      <w:r w:rsidRPr="00F61D7A">
        <w:rPr>
          <w:rFonts w:ascii="Times New Roman" w:hAnsi="Times New Roman" w:cs="Times New Roman"/>
        </w:rPr>
        <w:t>Reports on the technical condition of cranes.</w:t>
      </w:r>
    </w:p>
    <w:p w14:paraId="785E622A" w14:textId="65F0D49C" w:rsidR="00E65112" w:rsidRPr="00F3004B" w:rsidRDefault="00E65112" w:rsidP="00CC2DD0">
      <w:pPr>
        <w:rPr>
          <w:rFonts w:ascii="Times New Roman" w:hAnsi="Times New Roman" w:cs="Times New Roman"/>
        </w:rPr>
      </w:pPr>
    </w:p>
    <w:sectPr w:rsidR="00E65112" w:rsidRPr="00F3004B">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82974"/>
    <w:multiLevelType w:val="hybridMultilevel"/>
    <w:tmpl w:val="15E084C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995A38"/>
    <w:multiLevelType w:val="hybridMultilevel"/>
    <w:tmpl w:val="8A9E6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866647"/>
    <w:multiLevelType w:val="multilevel"/>
    <w:tmpl w:val="0DEC6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45218279">
    <w:abstractNumId w:val="2"/>
  </w:num>
  <w:num w:numId="2" w16cid:durableId="1102191634">
    <w:abstractNumId w:val="0"/>
  </w:num>
  <w:num w:numId="3" w16cid:durableId="20832177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FB7"/>
    <w:rsid w:val="0001754E"/>
    <w:rsid w:val="00022939"/>
    <w:rsid w:val="00044086"/>
    <w:rsid w:val="000610AD"/>
    <w:rsid w:val="000610C3"/>
    <w:rsid w:val="000619C0"/>
    <w:rsid w:val="00072BA1"/>
    <w:rsid w:val="00082007"/>
    <w:rsid w:val="0009235A"/>
    <w:rsid w:val="00094FAA"/>
    <w:rsid w:val="000B1A67"/>
    <w:rsid w:val="000B1CA3"/>
    <w:rsid w:val="000C2A3E"/>
    <w:rsid w:val="001316A0"/>
    <w:rsid w:val="00132897"/>
    <w:rsid w:val="00145C8A"/>
    <w:rsid w:val="001464B5"/>
    <w:rsid w:val="001613A4"/>
    <w:rsid w:val="00167A0E"/>
    <w:rsid w:val="00167C5B"/>
    <w:rsid w:val="001A3F60"/>
    <w:rsid w:val="001B7B9A"/>
    <w:rsid w:val="001C0A65"/>
    <w:rsid w:val="00217694"/>
    <w:rsid w:val="00221657"/>
    <w:rsid w:val="00227CCF"/>
    <w:rsid w:val="00233D0E"/>
    <w:rsid w:val="00235076"/>
    <w:rsid w:val="00241099"/>
    <w:rsid w:val="00266112"/>
    <w:rsid w:val="00275250"/>
    <w:rsid w:val="002956E0"/>
    <w:rsid w:val="002A2908"/>
    <w:rsid w:val="002B31BC"/>
    <w:rsid w:val="002B4E23"/>
    <w:rsid w:val="002E01F3"/>
    <w:rsid w:val="002F320A"/>
    <w:rsid w:val="002F3564"/>
    <w:rsid w:val="00300457"/>
    <w:rsid w:val="003047AF"/>
    <w:rsid w:val="0031668E"/>
    <w:rsid w:val="0033298A"/>
    <w:rsid w:val="00355861"/>
    <w:rsid w:val="00374C82"/>
    <w:rsid w:val="00391EB7"/>
    <w:rsid w:val="003945F4"/>
    <w:rsid w:val="003973D6"/>
    <w:rsid w:val="003C6A2E"/>
    <w:rsid w:val="003C726F"/>
    <w:rsid w:val="003D6CCB"/>
    <w:rsid w:val="003D726D"/>
    <w:rsid w:val="004118FE"/>
    <w:rsid w:val="004159A8"/>
    <w:rsid w:val="004462FC"/>
    <w:rsid w:val="00454D88"/>
    <w:rsid w:val="0047115B"/>
    <w:rsid w:val="00483514"/>
    <w:rsid w:val="004A47B0"/>
    <w:rsid w:val="004B19AD"/>
    <w:rsid w:val="004C7DC8"/>
    <w:rsid w:val="004D1C83"/>
    <w:rsid w:val="004E5215"/>
    <w:rsid w:val="004E7449"/>
    <w:rsid w:val="00524BA6"/>
    <w:rsid w:val="00526344"/>
    <w:rsid w:val="00553B76"/>
    <w:rsid w:val="0057090A"/>
    <w:rsid w:val="00572804"/>
    <w:rsid w:val="00586042"/>
    <w:rsid w:val="005875ED"/>
    <w:rsid w:val="005A07ED"/>
    <w:rsid w:val="005B3774"/>
    <w:rsid w:val="005D5125"/>
    <w:rsid w:val="005F519B"/>
    <w:rsid w:val="006052B2"/>
    <w:rsid w:val="00605831"/>
    <w:rsid w:val="00616BDE"/>
    <w:rsid w:val="00680E27"/>
    <w:rsid w:val="0074207C"/>
    <w:rsid w:val="00756F6B"/>
    <w:rsid w:val="0076436F"/>
    <w:rsid w:val="007649E3"/>
    <w:rsid w:val="00785FB7"/>
    <w:rsid w:val="00795F1E"/>
    <w:rsid w:val="007A3D61"/>
    <w:rsid w:val="007B4088"/>
    <w:rsid w:val="008071BC"/>
    <w:rsid w:val="00811934"/>
    <w:rsid w:val="00816FF6"/>
    <w:rsid w:val="00832596"/>
    <w:rsid w:val="00847011"/>
    <w:rsid w:val="00870F3C"/>
    <w:rsid w:val="0087503B"/>
    <w:rsid w:val="0089095C"/>
    <w:rsid w:val="008B76C0"/>
    <w:rsid w:val="008D0395"/>
    <w:rsid w:val="008E0418"/>
    <w:rsid w:val="008F68DC"/>
    <w:rsid w:val="0090509D"/>
    <w:rsid w:val="0091548E"/>
    <w:rsid w:val="0093100D"/>
    <w:rsid w:val="00940DB6"/>
    <w:rsid w:val="009638C9"/>
    <w:rsid w:val="0096673D"/>
    <w:rsid w:val="0097495D"/>
    <w:rsid w:val="00975EA7"/>
    <w:rsid w:val="009851CF"/>
    <w:rsid w:val="00992E77"/>
    <w:rsid w:val="009A3B88"/>
    <w:rsid w:val="009A4CFA"/>
    <w:rsid w:val="009C714A"/>
    <w:rsid w:val="009C7D64"/>
    <w:rsid w:val="009D30EB"/>
    <w:rsid w:val="009F33BF"/>
    <w:rsid w:val="009F5172"/>
    <w:rsid w:val="00A152F7"/>
    <w:rsid w:val="00A259ED"/>
    <w:rsid w:val="00A31543"/>
    <w:rsid w:val="00A52CA0"/>
    <w:rsid w:val="00A55597"/>
    <w:rsid w:val="00A62E8D"/>
    <w:rsid w:val="00A645EB"/>
    <w:rsid w:val="00A70064"/>
    <w:rsid w:val="00A76D38"/>
    <w:rsid w:val="00A84115"/>
    <w:rsid w:val="00A91280"/>
    <w:rsid w:val="00AA1E54"/>
    <w:rsid w:val="00AB4AC2"/>
    <w:rsid w:val="00AD42EE"/>
    <w:rsid w:val="00AE2EDB"/>
    <w:rsid w:val="00B0769C"/>
    <w:rsid w:val="00B14F91"/>
    <w:rsid w:val="00B156E2"/>
    <w:rsid w:val="00B36C76"/>
    <w:rsid w:val="00B459D0"/>
    <w:rsid w:val="00B46F14"/>
    <w:rsid w:val="00B857EC"/>
    <w:rsid w:val="00BA44B8"/>
    <w:rsid w:val="00BB52A5"/>
    <w:rsid w:val="00BC0C64"/>
    <w:rsid w:val="00BE2D0D"/>
    <w:rsid w:val="00BE4BD6"/>
    <w:rsid w:val="00BF3A49"/>
    <w:rsid w:val="00C139DC"/>
    <w:rsid w:val="00C14A1B"/>
    <w:rsid w:val="00C30736"/>
    <w:rsid w:val="00C3501D"/>
    <w:rsid w:val="00C50F54"/>
    <w:rsid w:val="00C520ED"/>
    <w:rsid w:val="00C60EA0"/>
    <w:rsid w:val="00C63AE2"/>
    <w:rsid w:val="00CB7075"/>
    <w:rsid w:val="00CC2DD0"/>
    <w:rsid w:val="00CD0306"/>
    <w:rsid w:val="00CE0BDB"/>
    <w:rsid w:val="00CE3E81"/>
    <w:rsid w:val="00CE3F22"/>
    <w:rsid w:val="00D1312B"/>
    <w:rsid w:val="00D30F83"/>
    <w:rsid w:val="00D50808"/>
    <w:rsid w:val="00D60121"/>
    <w:rsid w:val="00D94CF8"/>
    <w:rsid w:val="00DF54DB"/>
    <w:rsid w:val="00E27C35"/>
    <w:rsid w:val="00E34396"/>
    <w:rsid w:val="00E65112"/>
    <w:rsid w:val="00E83FDA"/>
    <w:rsid w:val="00E87B9B"/>
    <w:rsid w:val="00E96B0F"/>
    <w:rsid w:val="00EA7A30"/>
    <w:rsid w:val="00EB465E"/>
    <w:rsid w:val="00ED566C"/>
    <w:rsid w:val="00F04FD0"/>
    <w:rsid w:val="00F2372C"/>
    <w:rsid w:val="00F27751"/>
    <w:rsid w:val="00F3004B"/>
    <w:rsid w:val="00F32E45"/>
    <w:rsid w:val="00F33F3B"/>
    <w:rsid w:val="00F53F8C"/>
    <w:rsid w:val="00F61D7A"/>
    <w:rsid w:val="00F72D25"/>
    <w:rsid w:val="00F757F7"/>
    <w:rsid w:val="00FC4EBC"/>
    <w:rsid w:val="00FD2B2F"/>
    <w:rsid w:val="00FE5E69"/>
    <w:rsid w:val="00FF4006"/>
    <w:rsid w:val="00FF7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F8976"/>
  <w15:chartTrackingRefBased/>
  <w15:docId w15:val="{D1A221B7-1F33-4E0E-BDD0-F8D872C1E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5F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5F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5F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5F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5F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5F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5F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5F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5F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5F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5F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5F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5F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5F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5F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5F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5F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5FB7"/>
    <w:rPr>
      <w:rFonts w:eastAsiaTheme="majorEastAsia" w:cstheme="majorBidi"/>
      <w:color w:val="272727" w:themeColor="text1" w:themeTint="D8"/>
    </w:rPr>
  </w:style>
  <w:style w:type="paragraph" w:styleId="Title">
    <w:name w:val="Title"/>
    <w:basedOn w:val="Normal"/>
    <w:next w:val="Normal"/>
    <w:link w:val="TitleChar"/>
    <w:uiPriority w:val="10"/>
    <w:qFormat/>
    <w:rsid w:val="00785F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5F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5F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5F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5FB7"/>
    <w:pPr>
      <w:spacing w:before="160"/>
      <w:jc w:val="center"/>
    </w:pPr>
    <w:rPr>
      <w:i/>
      <w:iCs/>
      <w:color w:val="404040" w:themeColor="text1" w:themeTint="BF"/>
    </w:rPr>
  </w:style>
  <w:style w:type="character" w:customStyle="1" w:styleId="QuoteChar">
    <w:name w:val="Quote Char"/>
    <w:basedOn w:val="DefaultParagraphFont"/>
    <w:link w:val="Quote"/>
    <w:uiPriority w:val="29"/>
    <w:rsid w:val="00785FB7"/>
    <w:rPr>
      <w:i/>
      <w:iCs/>
      <w:color w:val="404040" w:themeColor="text1" w:themeTint="BF"/>
    </w:rPr>
  </w:style>
  <w:style w:type="paragraph" w:styleId="ListParagraph">
    <w:name w:val="List Paragraph"/>
    <w:aliases w:val="Table-Normal,RSHB_Table-Normal,Заголовок_3,Подпись рисунка,Numbered List,Elenco Normale,Elenco NormaleCxSpLast,Абзац маркированнный,Содержание. 2 уровень,Bullet List,FooterText,numbered,Paragraphe de liste1,lp1,Абзац,Numbered Steps"/>
    <w:basedOn w:val="Normal"/>
    <w:link w:val="ListParagraphChar"/>
    <w:uiPriority w:val="34"/>
    <w:qFormat/>
    <w:rsid w:val="00785FB7"/>
    <w:pPr>
      <w:ind w:left="720"/>
      <w:contextualSpacing/>
    </w:pPr>
  </w:style>
  <w:style w:type="character" w:styleId="IntenseEmphasis">
    <w:name w:val="Intense Emphasis"/>
    <w:basedOn w:val="DefaultParagraphFont"/>
    <w:uiPriority w:val="21"/>
    <w:qFormat/>
    <w:rsid w:val="00785FB7"/>
    <w:rPr>
      <w:i/>
      <w:iCs/>
      <w:color w:val="0F4761" w:themeColor="accent1" w:themeShade="BF"/>
    </w:rPr>
  </w:style>
  <w:style w:type="paragraph" w:styleId="IntenseQuote">
    <w:name w:val="Intense Quote"/>
    <w:basedOn w:val="Normal"/>
    <w:next w:val="Normal"/>
    <w:link w:val="IntenseQuoteChar"/>
    <w:uiPriority w:val="30"/>
    <w:qFormat/>
    <w:rsid w:val="00785F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5FB7"/>
    <w:rPr>
      <w:i/>
      <w:iCs/>
      <w:color w:val="0F4761" w:themeColor="accent1" w:themeShade="BF"/>
    </w:rPr>
  </w:style>
  <w:style w:type="character" w:styleId="IntenseReference">
    <w:name w:val="Intense Reference"/>
    <w:basedOn w:val="DefaultParagraphFont"/>
    <w:uiPriority w:val="32"/>
    <w:qFormat/>
    <w:rsid w:val="00785FB7"/>
    <w:rPr>
      <w:b/>
      <w:bCs/>
      <w:smallCaps/>
      <w:color w:val="0F4761" w:themeColor="accent1" w:themeShade="BF"/>
      <w:spacing w:val="5"/>
    </w:rPr>
  </w:style>
  <w:style w:type="paragraph" w:styleId="NormalWeb">
    <w:name w:val="Normal (Web)"/>
    <w:basedOn w:val="Normal"/>
    <w:uiPriority w:val="99"/>
    <w:unhideWhenUsed/>
    <w:rsid w:val="00CE3E81"/>
    <w:pPr>
      <w:spacing w:before="100" w:beforeAutospacing="1" w:after="100" w:afterAutospacing="1" w:line="240" w:lineRule="auto"/>
    </w:pPr>
    <w:rPr>
      <w:rFonts w:ascii="Times New Roman" w:hAnsi="Times New Roman" w:cs="Times New Roman"/>
      <w:kern w:val="0"/>
      <w14:ligatures w14:val="none"/>
    </w:rPr>
  </w:style>
  <w:style w:type="table" w:styleId="TableGrid">
    <w:name w:val="Table Grid"/>
    <w:basedOn w:val="TableNormal"/>
    <w:uiPriority w:val="39"/>
    <w:rsid w:val="00CE3E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04FD0"/>
    <w:rPr>
      <w:b/>
      <w:bCs/>
    </w:rPr>
  </w:style>
  <w:style w:type="character" w:customStyle="1" w:styleId="ListParagraphChar">
    <w:name w:val="List Paragraph Char"/>
    <w:aliases w:val="Table-Normal Char,RSHB_Table-Normal Char,Заголовок_3 Char,Подпись рисунка Char,Numbered List Char,Elenco Normale Char,Elenco NormaleCxSpLast Char,Абзац маркированнный Char,Содержание. 2 уровень Char,Bullet List Char,FooterText Char"/>
    <w:link w:val="ListParagraph"/>
    <w:uiPriority w:val="34"/>
    <w:qFormat/>
    <w:locked/>
    <w:rsid w:val="004E7449"/>
  </w:style>
  <w:style w:type="character" w:styleId="Hyperlink">
    <w:name w:val="Hyperlink"/>
    <w:basedOn w:val="DefaultParagraphFont"/>
    <w:uiPriority w:val="99"/>
    <w:unhideWhenUsed/>
    <w:rsid w:val="00FE5E69"/>
    <w:rPr>
      <w:color w:val="467886"/>
      <w:u w:val="single"/>
    </w:rPr>
  </w:style>
  <w:style w:type="character" w:styleId="UnresolvedMention">
    <w:name w:val="Unresolved Mention"/>
    <w:basedOn w:val="DefaultParagraphFont"/>
    <w:uiPriority w:val="99"/>
    <w:semiHidden/>
    <w:unhideWhenUsed/>
    <w:rsid w:val="004A47B0"/>
    <w:rPr>
      <w:color w:val="605E5C"/>
      <w:shd w:val="clear" w:color="auto" w:fill="E1DFDD"/>
    </w:rPr>
  </w:style>
  <w:style w:type="character" w:styleId="PlaceholderText">
    <w:name w:val="Placeholder Text"/>
    <w:basedOn w:val="DefaultParagraphFont"/>
    <w:uiPriority w:val="99"/>
    <w:semiHidden/>
    <w:rsid w:val="00F3004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ibek.berdigulov@kumtor.k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mena_telejki_kranov@kumtor.kg" TargetMode="External"/><Relationship Id="rId5" Type="http://schemas.openxmlformats.org/officeDocument/2006/relationships/hyperlink" Target="mailto:Zamena_telejki_kranov@kumtor.k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675</Words>
  <Characters>3632</Characters>
  <Application>Microsoft Office Word</Application>
  <DocSecurity>0</DocSecurity>
  <Lines>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Baisal Taalaibekov</dc:creator>
  <cp:keywords/>
  <dc:description/>
  <cp:lastModifiedBy>Gulizat Bekmurzaeva</cp:lastModifiedBy>
  <cp:revision>7</cp:revision>
  <dcterms:created xsi:type="dcterms:W3CDTF">2026-02-05T05:47:00Z</dcterms:created>
  <dcterms:modified xsi:type="dcterms:W3CDTF">2026-02-13T08:19:00Z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2025-06-12T07:52:32Z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21b6d0be-0c3e-42f3-bb9a-3d284fb22b3f</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